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b w:val="0"/>
          <w:bCs w:val="0"/>
          <w:snapToGrid/>
          <w:kern w:val="2"/>
          <w:sz w:val="44"/>
          <w:szCs w:val="44"/>
          <w:lang w:val="en-US" w:eastAsia="zh-CN" w:bidi="ar-SA"/>
        </w:rPr>
      </w:pPr>
      <w:r>
        <w:rPr>
          <w:rFonts w:hint="eastAsia" w:ascii="方正小标宋简体" w:hAnsi="方正小标宋简体" w:eastAsia="方正小标宋简体" w:cs="方正小标宋简体"/>
          <w:b w:val="0"/>
          <w:bCs w:val="0"/>
          <w:snapToGrid/>
          <w:kern w:val="2"/>
          <w:sz w:val="44"/>
          <w:szCs w:val="44"/>
          <w:lang w:val="en-US" w:eastAsia="zh-CN" w:bidi="ar-SA"/>
        </w:rPr>
        <w:t>四川省水利工程建设项目标准招标文件</w:t>
      </w:r>
    </w:p>
    <w:p>
      <w:pPr>
        <w:pStyle w:val="2"/>
        <w:jc w:val="center"/>
        <w:rPr>
          <w:rFonts w:hint="eastAsia" w:ascii="方正小标宋简体" w:hAnsi="方正小标宋简体" w:eastAsia="方正小标宋简体" w:cs="方正小标宋简体"/>
          <w:b w:val="0"/>
          <w:bCs w:val="0"/>
          <w:snapToGrid/>
          <w:kern w:val="2"/>
          <w:sz w:val="44"/>
          <w:szCs w:val="44"/>
          <w:lang w:val="en-US" w:eastAsia="zh-CN" w:bidi="ar-SA"/>
        </w:rPr>
      </w:pPr>
      <w:r>
        <w:rPr>
          <w:rFonts w:hint="eastAsia" w:ascii="方正小标宋简体" w:hAnsi="方正小标宋简体" w:eastAsia="方正小标宋简体" w:cs="方正小标宋简体"/>
          <w:b w:val="0"/>
          <w:bCs w:val="0"/>
          <w:snapToGrid/>
          <w:kern w:val="2"/>
          <w:sz w:val="44"/>
          <w:szCs w:val="44"/>
          <w:lang w:val="en-US" w:eastAsia="zh-CN" w:bidi="ar-SA"/>
        </w:rPr>
        <w:t>修改和补充（一）</w:t>
      </w:r>
    </w:p>
    <w:p>
      <w:pPr>
        <w:pStyle w:val="2"/>
        <w:jc w:val="both"/>
        <w:rPr>
          <w:rFonts w:hint="default" w:ascii="黑体" w:hAnsi="黑体" w:eastAsia="黑体" w:cs="黑体"/>
          <w:b w:val="0"/>
          <w:bCs w:val="0"/>
          <w:snapToGrid/>
          <w:kern w:val="2"/>
          <w:sz w:val="32"/>
          <w:szCs w:val="32"/>
          <w:lang w:val="en-US" w:eastAsia="zh-CN" w:bidi="ar-SA"/>
        </w:rPr>
      </w:pPr>
      <w:r>
        <w:rPr>
          <w:rFonts w:hint="eastAsia" w:ascii="黑体" w:hAnsi="黑体" w:cs="黑体"/>
          <w:b w:val="0"/>
          <w:bCs w:val="0"/>
          <w:snapToGrid/>
          <w:kern w:val="2"/>
          <w:sz w:val="32"/>
          <w:szCs w:val="32"/>
          <w:lang w:val="en-US" w:eastAsia="zh-CN" w:bidi="ar-SA"/>
        </w:rPr>
        <w:t xml:space="preserve">                   </w:t>
      </w:r>
      <w:r>
        <w:rPr>
          <w:rFonts w:hint="eastAsia" w:ascii="方正小标宋简体" w:hAnsi="方正小标宋简体" w:eastAsia="方正小标宋简体" w:cs="方正小标宋简体"/>
          <w:b w:val="0"/>
          <w:bCs w:val="0"/>
          <w:snapToGrid/>
          <w:kern w:val="2"/>
          <w:sz w:val="36"/>
          <w:szCs w:val="36"/>
          <w:lang w:val="en-US" w:eastAsia="zh-CN" w:bidi="ar-SA"/>
        </w:rPr>
        <w:t>（征求意见稿）</w:t>
      </w:r>
      <w:bookmarkStart w:id="0" w:name="_GoBack"/>
      <w:bookmarkEnd w:id="0"/>
    </w:p>
    <w:p>
      <w:pPr>
        <w:pStyle w:val="2"/>
        <w:jc w:val="both"/>
        <w:rPr>
          <w:rFonts w:hint="eastAsia" w:ascii="黑体" w:hAnsi="黑体" w:eastAsia="黑体" w:cs="黑体"/>
          <w:sz w:val="32"/>
          <w:szCs w:val="32"/>
          <w:lang w:val="en-US" w:eastAsia="zh-CN"/>
        </w:rPr>
      </w:pPr>
      <w:r>
        <w:rPr>
          <w:rFonts w:hint="eastAsia" w:ascii="黑体" w:hAnsi="黑体" w:eastAsia="黑体" w:cs="黑体"/>
          <w:b w:val="0"/>
          <w:bCs w:val="0"/>
          <w:snapToGrid/>
          <w:kern w:val="2"/>
          <w:sz w:val="32"/>
          <w:szCs w:val="32"/>
          <w:lang w:val="en-US" w:eastAsia="zh-CN" w:bidi="ar-SA"/>
        </w:rPr>
        <w:t>一、标准施工招标文件（2020年版）</w:t>
      </w:r>
    </w:p>
    <w:tbl>
      <w:tblPr>
        <w:tblStyle w:val="8"/>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4125"/>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条款号</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原内容</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1.4.1</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增加  注：（8）招标文件不得设置“业绩不重复计分”等内容，投标人的业绩可以适用企业业绩和人员业绩要求或者多个类别业绩要求。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color w:val="auto"/>
                <w:lang w:val="en-US" w:eastAsia="zh-CN"/>
              </w:rPr>
            </w:pPr>
            <w:r>
              <w:rPr>
                <w:rFonts w:hint="eastAsia" w:ascii="仿宋" w:hAnsi="仿宋" w:eastAsia="仿宋" w:cs="仿宋"/>
                <w:b w:val="0"/>
                <w:bCs w:val="0"/>
                <w:color w:val="auto"/>
                <w:sz w:val="24"/>
                <w:szCs w:val="24"/>
                <w:vertAlign w:val="baseline"/>
                <w:lang w:val="en-US" w:eastAsia="zh-CN"/>
              </w:rPr>
              <w:t>投标人须知前附表1.4.3（12）</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黑体" w:hAnsi="黑体" w:eastAsia="黑体" w:cs="黑体"/>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有骗取中标或严重违约或重大工程质量问题的年份要求</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黑体" w:hAnsi="黑体" w:eastAsia="黑体" w:cs="黑体"/>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删除，后续序号递进。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投标人须知前附表3.2.3</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有，投标最高限价</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元，投标最高限价相应价格</w:t>
            </w:r>
            <w:r>
              <w:rPr>
                <w:rFonts w:hint="eastAsia" w:ascii="仿宋" w:hAnsi="仿宋" w:eastAsia="仿宋" w:cs="仿宋"/>
                <w:b w:val="0"/>
                <w:bCs w:val="0"/>
                <w:strike w:val="0"/>
                <w:dstrike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元。</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有，投标最高限价</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元，投标最高限价相应价格</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元。其中：安全生产措施费</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u w:val="none"/>
                <w:vertAlign w:val="baseline"/>
                <w:lang w:val="en-US" w:eastAsia="zh-CN"/>
              </w:rPr>
              <w:t>元</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、专业工程暂估价</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元、暂列金额</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投标人须知前附表6.1.1</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评标委员会的组成和评标专家的确定方式按川办发[2003]13号第九条、川府发（2014）62号第（三）条等文件规定执行。</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评标委员会组建的相关规定：《四川省人民政府办公厅关于印发&lt;四川省评标专家库管理办法&gt;的通知》（川办发[2003]13号）“第九条在四川省内全部或者部分使用国有资金投资或者国家融资且依法必须进行招标的工程建设项目，评标专家必须从四川省评标专家库中确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国务院部委直接管理招投标的项目，国家另有规定的从其规定。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使用国际组织或者外国政府贷款、援助资金的项目进行招标，贷款方、资金提供方对确定评标专家有不同规定的，可以适用其规定。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经管委办批准，也可以从国家级专家库或其他省级以上专家库中随机确定评标专家。”</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川省人民政府关于进一步规范国家投资工程建设项目招标投标工作的意见》（川府发〔2014〕62号）（三）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监督部门的监督下，可从国务院有关部委或外省（区、市）评标专家库中抽取评标专家。国务院有关部委审批的项目对抽取评标专家另有规定的从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国家投资工程建设项目招标人拟派进入评标委员会的代表，应熟悉招标投标有关法律法规和招标项目经济、技术要求，并不得担任评标委员会主任。行政监督部门（包括具有公共管理职能的事业单位）的工作人员不得作为被监督项目的评标专家或招标人评标代表参与评标。</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评标委员会的组成和评标专家的确定方式按川办发 〔2021〕54号第二十二条、川办规〔2022〕8号第（十）条等文件规定执行。</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注：评标委员会组建的相关规定：《四川省评标专家和综合评标专家库管理办法的通知》（川办发 〔2021〕54号）“第二十二条依法必须进行招标的项目,其评标委员会的专家成员应当从综合评标专家库内相关专业的专家名单中以随机抽取方式确定。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任何单位和个人不得以明示、暗示等方式指定或者变相指定参加评标委员会的专家成员。</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技术特别复杂、专业要求特别高,综合评标专家库无满足条件的专家或者满足条件的专家未达到系统随机抽取最低人数,以及国家有特殊要求、采取随机抽取方式确定的专家难以胜任评标工作的项目,经相关行业主管部门同意,招标人可以直接确定评标专家。“《关于持续优化营商环境规范招标投标主体行为的实施意见》川办规〔2022〕8号“(十)规范招标人代表选派。招标人应选派或委托责任心强、熟悉业务、公道正派的人员作为招标人代表参加评标，并遵守利益冲突回避原则。 国家机关、事业单位和团体组织的招标项目委托外部专家作为招标人代表的，应从上下级单位及其所属事业单位、招标代理机构、项目管理单位的工作人员中选择或邀请业务相关的其他国家机关、事业单位、国有企业工作人员担任，但不得委托招标项目的行政监督部门、审批核准部门、主管部门和审计部门工作人员担任。评标委员会中招标人代表和评标专家的人数应符合招标文件约定。开标后，招标人认为评标委员会成员数量不满足评标需要的，仅可增加评标专家人数。严禁招标人代表私下接触投标人、潜在投标人、评标专家或相关利害关系人。 任何单位和个人不得禁止或限制招标人代表进入评标委员会。但有证据表明该代表可能影响评标公正性的除外。”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投标人须知前附表7.1</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中标候选人公示媒介及期限</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中标候选人、评标结果公示媒介及期限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投标人须知前附表7.7.1</w:t>
            </w:r>
          </w:p>
        </w:tc>
        <w:tc>
          <w:tcPr>
            <w:tcW w:w="4125" w:type="dxa"/>
          </w:tcPr>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履约保证金=中标合同金额的</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%（根据中华人民共和国招标投标法实施条例第五十八条规定：履约保证金不得超过中标合同金额的10%）</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投标人可以选用下列形式之一提交履约保证金：</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（1）以现金或者支票形式全额提交。采用该形式的履约担保必须通过中标人基本账户以银行转账方式缴纳。</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（2）以保函形式全额提交。采用该形式的履约担保必须提供保函原件。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（3）以现金或支票、保函形式组合提交。采用现金或支票形式的履约担保必须通过中标人基本账户以银行转账方式缴纳；采用保函形式的履约担保必须提供保函原件。</w:t>
            </w:r>
          </w:p>
          <w:p>
            <w:pPr>
              <w:pStyle w:val="13"/>
              <w:widowControl w:val="0"/>
              <w:ind w:left="0" w:leftChars="0" w:right="0" w:rightChars="0"/>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（4）保函形式采用</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银行保函，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保险公司保险，</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（其它形式，由招标人自行填写），招标人可选择一项或多项。</w:t>
            </w:r>
          </w:p>
        </w:tc>
        <w:tc>
          <w:tcPr>
            <w:tcW w:w="4163" w:type="dxa"/>
          </w:tcPr>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履约保证金=中标合同金额的</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%（根据中华人民共和国招标投标法实施条例第五十八条规定：履约保证金不得超过中标合同金额的10%）</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投标人可以选用下列形式之一提交履约保证金：</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（1）以现金或者支票形式全额提交。采用该形式的履约担保必须通过中标人基本账户以银行转账方式缴纳。</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（2）以保函形式全额提交。采用该形式的履约担保必须提供保函原件。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（3）以现金或支票、保函形式组合提交。采用现金或支票形式的履约担保必须通过中标人基本账户以银行转账方式缴纳；采用保函形式的履约担保必须提供保函原件。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（4）保函形式采用</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银行保函，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保险公司保险，</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（其它形式，由招标人自行填写），招标人可选择一项或多项。</w:t>
            </w:r>
          </w:p>
          <w:p>
            <w:pPr>
              <w:pStyle w:val="13"/>
              <w:widowControl w:val="0"/>
              <w:ind w:left="0" w:leftChars="0" w:right="0" w:rightChars="0"/>
              <w:jc w:val="both"/>
              <w:rPr>
                <w:rFonts w:hint="default"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（5）</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施工类信用评价AA级及以上且连续3年无不良行为记录的中标人可相应减免</w:t>
            </w:r>
            <w:r>
              <w:rPr>
                <w:rFonts w:hint="eastAsia" w:ascii="仿宋" w:hAnsi="仿宋" w:eastAsia="仿宋" w:cs="仿宋"/>
                <w:b w:val="0"/>
                <w:bCs w:val="0"/>
                <w:snapToGrid w:val="0"/>
                <w:color w:val="auto"/>
                <w:kern w:val="44"/>
                <w:sz w:val="24"/>
                <w:szCs w:val="24"/>
                <w:vertAlign w:val="baseline"/>
                <w:lang w:val="en-US" w:eastAsia="zh-CN"/>
              </w:rPr>
              <w:t>中标合同金额</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%（最多不超过10%）的履约保证金。</w:t>
            </w:r>
            <w:r>
              <w:rPr>
                <w:rFonts w:hint="eastAsia" w:ascii="仿宋" w:hAnsi="仿宋" w:eastAsia="仿宋" w:cs="仿宋"/>
                <w:b w:val="0"/>
                <w:bCs w:val="0"/>
                <w:snapToGrid w:val="0"/>
                <w:color w:val="auto"/>
                <w:kern w:val="44"/>
                <w:sz w:val="24"/>
                <w:szCs w:val="24"/>
                <w:vertAlign w:val="baseline"/>
                <w:lang w:val="en-US" w:eastAsia="zh-CN"/>
              </w:rPr>
              <w:t>（由招标人自行选择）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投标人须知前附表10.2</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评标过程中，评标委员会发现投标人的报价（修正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否决投标处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某投标人的报价明显低于其他投标报价的量化评审方法: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对低于该项目（标段）投标最高限价相应价格85%并且低于所有（该项目或标段）合格投标人报价的评审价算术平均值</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%（不超过 95%，精确到 1%）的投标报价作为可能低于其个别成本的评审对象。</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在评标过程中，评标委员会发现投标人的投标报价（评审价）明显低于其他投标报价（评审价），使得其投标报价可能低于其个别成本的，应当要求该投标人作出书面说明并提供相关证明材料。投标人不能合理说明或者不能提供相关证明材料的，由评标委员会认定该投标人以低于成本报价竞标，其投标应作否决投标处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某投标人的投标报价（评审价）明显低于其他投标人投标报价（评审价）的量化评审方法: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对低于该项目（标段）投标最高限价相应价格 85%（折算为以元为单位进行比较，保留整数）并且低于所有（该项目或标段）合格投标人报价的评审价算术平均值</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%（不超过 95%，折算为以元为单位进行比较，保留整数）的投标报价作为可能低于其个别成本的评审对象。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投标人须知前附表10.7</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实行项目经理压证施工制度。项目业主须在中标人提供投标文件承诺的 项目经理的执业资格证书原件后才能签订合同，应至合同标的的（关键性项目节点）完工后才能退还。</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删除，后续序号递进。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投标人须知前附表10.8</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禁转包和违法分包。未经业主同意，行政主管部门备案，中标人不得变更项目经理和技术负责人。凡招标文件严禁分包的，中标人不得进行任何形式的分包。中标人派驻施工现场的项目经理、技术负责人与投标文件承诺不符的，视同转包。</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严禁转包和违法分包。未经业主同意，行政主管部门备案，中标人不得变更项目经理和技术负责人。凡招标文件严禁分包的，中标人不得进行违法分包。中标人派驻施工现场的项目经理、技术负责人与投标文件承诺不符的，视同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投标人须知前附表10.9</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（1）拟任项目经理和技术负责人在本项目合同签定后至（关键性项目节点）前也不得在其他项目担任项目经理和技术负责人。</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（2）项目经理、技术负责人不得更换。因特殊情况确需更换的，应征得项目 业主同意，并报对该工程履行日常监督管理职责的水行政主管部门备案。更换后的人员应为本单位人员，且不得低于原投标承诺人员所具有的资格和条件。</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（1）拟任项目经理和技术负责人在本项目合同签定时至（关键性项目节点）前也不得在其他项目担任项目经理和技术负责人。</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项目经理、技术负责人原则上不得更换。确需更换项目经理、技术负责人的，应说明原因，征得项目业主同意，并报对该工程履行日常监督管理职责的水行政主管部门备案。更换后的人员应为本单位人员，且不得低于原投标承诺人员所具有的资格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投标人须知前附表10.17</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招标人委托招标代理机构组织招标时，招标代理服务费由招标人支付。</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招标人支付。</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中标的投标人支付。招标代理服务费不计入投标报价，中标后，参照“计价格[2002]1980号”规定的招标代理服务收费标准，以及招标人和招标代理机构签订的《四川省国家投资工程建设项目委托招标代理合同》（四川省发展和改革委员会、四川省工商行政管理局制定的规范文本）中确定的上（下）浮动幅度（  %），计算出招标代理服务费，支付给招标代理机构。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投标人须知前附表10.19</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中标人应严格按照《保障农民工工资支付条例》等相关要求，做好农民工工资支付工作。在签定合同前，中标人应按专用合同条款约定要求缴纳农民工工资保证金。</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中标人应严格按照《保障农民工工资支付条例》等相关要求，做好农民工工资支付工作。在签定合同后，中标人应按专用合同条款约定要求缴纳农民工工资保证金。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总则1.4.2</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投标人须知前附表规定接受联合体投标的，除应符合本章第 1.4.1 项和投标人须知前附表的要求外，还应遵守以下规定：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（1）联合体各方应按招标文件提供的格式签订联合体协议书，明确联合体牵头人和各方权利义务，并承诺就中标项目向招标人承担连带责任；</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（2）由同一专业的单位组成的联合体，按照资质等级较低的单位确定资质等级；</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（3）联合体各方不得再以自己名义单独或参加其他联合体在同一标段中投标，否则各相关投标均无效。</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1.4.2 投标人须知前附表规定接受联合体投标的，除应符合本章第 1.4.1 项和投标人须知前附表的要求外，还应遵守以下规定：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（1）联合体各方应按招标文件提供的格式签订联合体协议书，明确联合体牵头人和各方权利义务，并就中标项目向招标人承担连带责任；</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（3）联合体各方不得再以自己名义单独或参加其他联合体在同一标段中投标；</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联合体各成员应按照招标文件中投标文件格式的要求提供相应数据、资料，并由联合体牵头人负责统一汇总、编制投标文件后加密、上传；联合体牵头人所提交的投标文件应认为已代表了联合体各成员的真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总则1.4.3</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（12）在最近三年内有骗取中标或严重违约或重大工程质量问题的（应以有关行政管理部门或司法机关出具的有关文件为依据），具体年份要求见投标人须知前附表。</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删除，后续序号递进。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经评审的最低投标价法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评标办法前附表2.2</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AAA级信用等级按-5%计算折算价格；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AA级信用等级按-4%计算折算价格；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A级信用等级按-3%计算折算价格；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B级信用等级按-2%计算折算价格；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C级信用等级按 0%计算折算价格；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注：1.获得的市场信用等级应以全国水利建设市场监管平台公告的等级为准，且开标之日在有效期内；</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2.联合体投标人的信用等级按联合体成员信用等级低的计算；</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3.折算价格=评审价×折算率。（以元为单位，保留整数，小数点后一位四舍五入）例：AAA 级信用等级的折算价格=评审价×（-5%）</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AAA级信用等级按</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AA级信用等级按</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A级信用等级按</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B级信用等级按</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C级信用等级按</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计算折算价格；</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注：1.获得的市场信用等级应以全国水利建设市场监管平台公告的等级为准，且开标之日在有效期内；附有效期内的信用等级证书或水利建设市场监管平台截图。</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2.联合体投标人的信用等级按联合体成员信用等级低的计算；</w:t>
            </w:r>
          </w:p>
          <w:p>
            <w:pPr>
              <w:widowControl w:val="0"/>
              <w:numPr>
                <w:ilvl w:val="0"/>
                <w:numId w:val="0"/>
              </w:numPr>
              <w:rPr>
                <w:rFonts w:hint="eastAsia"/>
                <w:color w:val="auto"/>
                <w:lang w:val="en-US" w:eastAsia="zh-CN"/>
              </w:rPr>
            </w:pPr>
            <w:r>
              <w:rPr>
                <w:rFonts w:hint="eastAsia" w:ascii="仿宋" w:hAnsi="仿宋" w:eastAsia="仿宋" w:cs="仿宋"/>
                <w:b w:val="0"/>
                <w:bCs w:val="0"/>
                <w:color w:val="auto"/>
                <w:sz w:val="24"/>
                <w:szCs w:val="24"/>
                <w:vertAlign w:val="baseline"/>
                <w:lang w:val="en-US" w:eastAsia="zh-CN"/>
              </w:rPr>
              <w:t>3.具体分值设置按照《四川省水利工程建设项目招标投标管理实施细则》执行，总分值折算不超过5%，各信用等级之间折算比例应保持相对一致，且原则上不低于1%。</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4.折算价格=评审价×折算率。（以元为单位，保留整数，小数点后一位四舍五入）例：AAA级信用等级的折算价格=评审价×（-5%）；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评标办法前附表2.2.1</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施工组织设计：15～20分；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项目管理机构：5～15分；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 标 报 价 ：≥50分；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其 他 因 素 ：15分</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施工组织设计：15～20分；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项目管理机构：5 ～15分；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 标 报 价 ：≥50分；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其 他 因 素 ：5～20分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评标办法前附2.2.3（3）</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（2）随机系数法投标报价得分计算公式：</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①有效投标报价的评审价＞评标基准价 Fi=投标报价满分－偏差率绝对值×100×1.5</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②有效投标报价的评审价&lt;评标基准价 Fi=投标报价满分－偏差率绝对值×100×1.0</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（2）随机系数法投标报价得分计算公式：</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①有效投标报价的评审价＞评标基准价 Fi=投标报价满分－偏差率绝对值×100×E1</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②有效投标报价的评审价&lt;评标基准价 Fi=投标报价满分－偏差率绝对值×100×E2</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③有效投标报价的评审价=评标基准价 Fi=投标报价满分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E1是评标价每高于评标基准价一个百分点的扣分值、E2是评标价每低于评标基准价一个百分点的扣分值。E1大于E2，E1、E2取值为0.5～1。（精确到小数点后一位）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评标办法前附2.2.3（4）</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施工类信用评价：</w:t>
            </w:r>
          </w:p>
          <w:p>
            <w:pPr>
              <w:pStyle w:val="2"/>
              <w:keepNext/>
              <w:keepLines/>
              <w:pageBreakBefore w:val="0"/>
              <w:widowControl/>
              <w:numPr>
                <w:ilvl w:val="0"/>
                <w:numId w:val="1"/>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施工总承包一级及以上资质作为资格条件时，按下列标准评分：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①AAA级信用等级，得 8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②AA 级信用等级，得 6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③A 级信用等级，得 4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④ 其他得 0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（2）施工总承包二级或三级资质作为最低资格条件 时，按下列标准评分：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①AA 级及以上信用等级，得8分；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②A 级信用等级，得 6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③B 级信用等级，得 4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④其他得 0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注：1.获得的市场信用等级应以全国水利建设市场监管平台公告的等级为准，且开标之日有效期内；</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2.联合体投标的，信用得分按信用等级低的计算。</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施工类信用评价：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（1）施工总承包一级及以上资质作为资格条件时，按下列标准评分：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①AAA级信用等级，得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②AA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③A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④ 其他得 0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（2）施工总承包二级或三级资质作为最低资格条件时，按下列标准评分：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①AA 级及以上信用等级，得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②A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③B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④其他得 0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注：1.获得的市场信用等级应以全国水利建设市场监管平台公告的等级为准，且开标之日在有效期内；附有效期内的信用等级证书或水利建设市场监管平台截图；</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2.联合体投标人的信用等级按联合体成员信用等级低的计算；</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3.具体分值设置按照《四川省水利工程建设项目招标投标管理实施细则》执行，总分值设置不超过10分；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4.各信用等级之间分差应保持相对一致，且原则上不低于1分。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评标办法前附2.2.3（4）</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增加：奖项加分</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u w:val="none"/>
                <w:vertAlign w:val="baseline"/>
                <w:lang w:val="en-US" w:eastAsia="zh-CN"/>
              </w:rPr>
              <w:t>分。（注：由招标人自行选择。招标人不得设定特定行政区域或者特定行业的奖项作为加分条件，不得设定与招标工程的具体特点不相适应的奖项作为加分条件，不得设定全国评比达标表彰工作协调小组办公室按照《评比达标表彰活动管理办法》公布目录以外的奖项作为加分条件。设定奖项年限为近3年的，个数不得超过1个；近5年及以上的，个数不超过2个。评标办法中各类奖项加分总分值不得超过3分。）</w:t>
            </w:r>
          </w:p>
        </w:tc>
      </w:tr>
    </w:tbl>
    <w:p>
      <w:pPr>
        <w:pStyle w:val="2"/>
        <w:numPr>
          <w:ilvl w:val="0"/>
          <w:numId w:val="0"/>
        </w:numPr>
        <w:jc w:val="both"/>
        <w:rPr>
          <w:rFonts w:hint="eastAsia" w:ascii="黑体" w:hAnsi="黑体" w:eastAsia="黑体" w:cs="黑体"/>
          <w:b w:val="0"/>
          <w:bCs w:val="0"/>
          <w:snapToGrid/>
          <w:color w:val="auto"/>
          <w:kern w:val="2"/>
          <w:sz w:val="32"/>
          <w:szCs w:val="32"/>
          <w:lang w:val="en-US" w:eastAsia="zh-CN" w:bidi="ar-SA"/>
        </w:rPr>
      </w:pPr>
      <w:r>
        <w:rPr>
          <w:rFonts w:hint="eastAsia" w:ascii="黑体" w:hAnsi="黑体" w:cs="黑体"/>
          <w:b w:val="0"/>
          <w:bCs w:val="0"/>
          <w:snapToGrid/>
          <w:color w:val="auto"/>
          <w:kern w:val="2"/>
          <w:sz w:val="32"/>
          <w:szCs w:val="32"/>
          <w:lang w:val="en-US" w:eastAsia="zh-CN" w:bidi="ar-SA"/>
        </w:rPr>
        <w:t>二</w:t>
      </w:r>
      <w:r>
        <w:rPr>
          <w:rFonts w:hint="eastAsia" w:ascii="黑体" w:hAnsi="黑体" w:eastAsia="黑体" w:cs="黑体"/>
          <w:b w:val="0"/>
          <w:bCs w:val="0"/>
          <w:snapToGrid/>
          <w:color w:val="auto"/>
          <w:kern w:val="2"/>
          <w:sz w:val="32"/>
          <w:szCs w:val="32"/>
          <w:lang w:val="en-US" w:eastAsia="zh-CN" w:bidi="ar-SA"/>
        </w:rPr>
        <w:t>、标准</w:t>
      </w:r>
      <w:r>
        <w:rPr>
          <w:rFonts w:hint="eastAsia" w:ascii="黑体" w:hAnsi="黑体" w:cs="黑体"/>
          <w:b w:val="0"/>
          <w:bCs w:val="0"/>
          <w:snapToGrid/>
          <w:color w:val="auto"/>
          <w:kern w:val="2"/>
          <w:sz w:val="32"/>
          <w:szCs w:val="32"/>
          <w:lang w:val="en-US" w:eastAsia="zh-CN" w:bidi="ar-SA"/>
        </w:rPr>
        <w:t>监理</w:t>
      </w:r>
      <w:r>
        <w:rPr>
          <w:rFonts w:hint="eastAsia" w:ascii="黑体" w:hAnsi="黑体" w:eastAsia="黑体" w:cs="黑体"/>
          <w:b w:val="0"/>
          <w:bCs w:val="0"/>
          <w:snapToGrid/>
          <w:color w:val="auto"/>
          <w:kern w:val="2"/>
          <w:sz w:val="32"/>
          <w:szCs w:val="32"/>
          <w:lang w:val="en-US" w:eastAsia="zh-CN" w:bidi="ar-SA"/>
        </w:rPr>
        <w:t>招标文件（2020年版）</w:t>
      </w:r>
    </w:p>
    <w:tbl>
      <w:tblPr>
        <w:tblStyle w:val="8"/>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4125"/>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条款号</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原内容</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投标人须知前附表1.4.1</w:t>
            </w:r>
          </w:p>
        </w:tc>
        <w:tc>
          <w:tcPr>
            <w:tcW w:w="4125" w:type="dxa"/>
            <w:vAlign w:val="center"/>
          </w:tcPr>
          <w:p>
            <w:pPr>
              <w:pStyle w:val="13"/>
              <w:widowControl w:val="0"/>
              <w:spacing w:line="260" w:lineRule="exact"/>
              <w:ind w:left="0" w:leftChars="0" w:right="0" w:rightChars="0"/>
              <w:jc w:val="both"/>
              <w:rPr>
                <w:rFonts w:hint="eastAsia" w:ascii="仿宋" w:hAnsi="仿宋" w:eastAsia="仿宋" w:cs="仿宋"/>
                <w:b w:val="0"/>
                <w:bCs w:val="0"/>
                <w:snapToGrid w:val="0"/>
                <w:color w:val="auto"/>
                <w:kern w:val="44"/>
                <w:sz w:val="24"/>
                <w:szCs w:val="24"/>
                <w:u w:val="single"/>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近   年（   年   月   日至投标截止时间）（小型项目一般不低于3年；中型项目一般不低于5年；大型项目一般不低于10年）</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已完成</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正在实施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已完成和正在实施不少于</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 xml:space="preserve"> </w:t>
            </w:r>
            <w:r>
              <w:rPr>
                <w:rFonts w:hint="eastAsia" w:ascii="仿宋" w:hAnsi="仿宋" w:eastAsia="仿宋" w:cs="仿宋"/>
                <w:b w:val="0"/>
                <w:bCs w:val="0"/>
                <w:snapToGrid w:val="0"/>
                <w:color w:val="auto"/>
                <w:kern w:val="44"/>
                <w:sz w:val="24"/>
                <w:szCs w:val="24"/>
                <w:u w:val="single"/>
                <w:vertAlign w:val="baseline"/>
                <w:lang w:val="en-US" w:eastAsia="zh-CN"/>
              </w:rPr>
              <w:t xml:space="preserve">    </w:t>
            </w:r>
          </w:p>
          <w:p>
            <w:pPr>
              <w:pStyle w:val="13"/>
              <w:widowControl w:val="0"/>
              <w:spacing w:line="260" w:lineRule="exact"/>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个（1至3个）类似项目。</w:t>
            </w:r>
          </w:p>
        </w:tc>
        <w:tc>
          <w:tcPr>
            <w:tcW w:w="4163" w:type="dxa"/>
            <w:vAlign w:val="center"/>
          </w:tcPr>
          <w:p>
            <w:pPr>
              <w:pStyle w:val="13"/>
              <w:widowControl w:val="0"/>
              <w:spacing w:line="260" w:lineRule="exact"/>
              <w:ind w:left="0" w:leftChars="0" w:right="0" w:rightChars="0"/>
              <w:jc w:val="left"/>
              <w:rPr>
                <w:rFonts w:hint="eastAsia" w:ascii="黑体" w:hAnsi="黑体" w:eastAsia="黑体" w:cs="黑体"/>
                <w:b w:val="0"/>
                <w:bCs w:val="0"/>
                <w:color w:val="auto"/>
                <w:sz w:val="32"/>
                <w:szCs w:val="32"/>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近</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年（</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年</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月</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日至投标截止时间）（小型项目一般不低于3年；中型项目一般不低于5年；大型项目一般不低于10年）</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已完成</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正在实施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已完成或正在实施不少于</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个（1至3个）类似项目。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投标人须知前附表1.4.1</w:t>
            </w:r>
          </w:p>
        </w:tc>
        <w:tc>
          <w:tcPr>
            <w:tcW w:w="4125" w:type="dxa"/>
            <w:vAlign w:val="center"/>
          </w:tcPr>
          <w:p>
            <w:pPr>
              <w:pStyle w:val="13"/>
              <w:widowControl w:val="0"/>
              <w:numPr>
                <w:ilvl w:val="0"/>
                <w:numId w:val="0"/>
              </w:numPr>
              <w:spacing w:line="260" w:lineRule="exact"/>
              <w:ind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8.其他要求：（1）本单位人员是指在本单位具有有效的《全国水利工程建设监理工程师资格证书》的人员；</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both"/>
              <w:textAlignment w:val="baseline"/>
              <w:rPr>
                <w:rFonts w:hint="eastAsia"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8.其他要求：（1）拟投入本工程的监理工程师是指注册在本单位具有水利部颁发的《中华人民共和国监理工程师注册证书》的人员；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color w:val="auto"/>
                <w:lang w:val="en-US" w:eastAsia="zh-CN"/>
              </w:rPr>
            </w:pPr>
            <w:r>
              <w:rPr>
                <w:rFonts w:hint="eastAsia" w:ascii="仿宋" w:hAnsi="仿宋" w:eastAsia="仿宋" w:cs="仿宋"/>
                <w:b w:val="0"/>
                <w:bCs w:val="0"/>
                <w:color w:val="auto"/>
                <w:sz w:val="24"/>
                <w:szCs w:val="24"/>
                <w:vertAlign w:val="baseline"/>
                <w:lang w:val="en-US" w:eastAsia="zh-CN"/>
              </w:rPr>
              <w:t>投标人须知前附表1.4.1</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黑体" w:hAnsi="黑体" w:eastAsia="黑体" w:cs="黑体"/>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注（3）资质类别：资质类别应与招标工程内容相对应，当招标工程内容涉及多个资质时，应合理划分标段发包；确需整体发包要求投标人具备相应多个资质的，应接受投标人组成联合体投标，且不得限制联合体成员的数量，总承包资质覆盖范围内的专业工程不得再设置资质要求，否则属于以不合理条件限制、排斥潜在投标人或者投标人。</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黑体" w:hAnsi="黑体" w:eastAsia="黑体" w:cs="黑体"/>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注（3）资质类别：资质类别应与招标工程内容相对应，当招标工程内容涉及多个资质时，应合理划分标段发包；确需整体发包要求投标人具备相应多个资质的，应接受投标人组成联合体投标。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黑体" w:hAnsi="黑体" w:eastAsia="黑体" w:cs="黑体"/>
                <w:b w:val="0"/>
                <w:bCs w:val="0"/>
                <w:snapToGrid w:val="0"/>
                <w:color w:val="auto"/>
                <w:kern w:val="44"/>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黑体" w:hAnsi="黑体" w:eastAsia="黑体" w:cs="黑体"/>
                <w:b w:val="0"/>
                <w:bCs w:val="0"/>
                <w:snapToGrid w:val="0"/>
                <w:color w:val="auto"/>
                <w:kern w:val="44"/>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napToGrid w:val="0"/>
                <w:color w:val="auto"/>
                <w:kern w:val="44"/>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增加  注：（8）招标文件不得设置“业绩不重复计分”等内容，投标人的业绩可以适用企业业绩和人员业绩要求或者多个类别业绩要求。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投标人须知前附表3.5.3</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近年完成的类似项目情况的时间要求</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类似项目时间要求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投标人须知前附表6.1.1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评标委员会的组成和评标专家的确定方式按川办发[2003]13号第九条、川府发（2014）62号第（三）条等文件规定执行。</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评标委员会组建的相关规定：《四川省人民政府办公厅关于印发&lt;四川省评标专家库管理办法&gt;的通知》（川办发[2003]13号）“第九条在四川省内全部或者部分使用国有资金投资或者国家融资且依法必须进行招标的工程建设项目，评标专家必须从四川省评标专家库中确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国务院部委直接管理招投标的项目，国家另有规定的从其规定。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使用国际组织或者外国政府贷款、援助资金的项目进行招标，贷款方、资金提供方对确定评标专家有不同规定的，可以适用其规定。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经管委办批准，也可以从国家级专家库或其他省级以上专家库中随机确定评标专家。”</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川省人民政府关于进一步规范国家投资工程建设项目招标投标工作的意见》（川府发〔2014〕62号）（三）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监督部门的监督下，可从国务院有关部委或外省（区、市）评标专家库中抽取评标专家。国务院有关部委审批的项目对抽取评标专家另有规定的从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国家投资工程建设项目招标人拟派进入评标委员会的代表，应熟悉招标投标有关法律法规和招标项目经济、技术要求，并不得担任评标委员会主任。行政监督部门（包括具有公共管理职能的事业单位）的工作人员不得作为被监督项目的评标专家或招标人评标代表参与评标。</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评标委员会的组成和评标专家的确定方式按川办发 〔2021〕54号第二十二条、川办规〔2022〕8号第（十）条等文件规定执行。</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注：评标委员会组建的相关规定：《四川省评标专家和综合评标专家库管理办法的通知》（川办发 〔2021〕54号）“第二十二条依法必须进行招标的项目,其评标委员会的专家成员应当从综合评标专家库内相关专业的专家名单中以随机抽取方式确定。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任何单位和个人不得以明示、暗示等方式指定或者变相指定参加评标委员会的专家成员。</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技术特别复杂、专业要求特别高,综合评标专家库无满足条件的专家或者满足条件的专家未达到系统随机抽取最低人数,以及国家有特殊要求、采取随机抽取方式确定的专家难以胜任评标工作的项目,经相关行业主管部门同意,招标人可以直接确定评标专家。“《关于持续优化营商环境规范招标投标主体行为的实施意见》川办规〔2022〕8号“(十)规范招标人代表选派。招标人应选派或委托责任心强、熟悉业务、公道正派的人员作为招标人代表参加评标，并遵守利益冲突回避原则。 国家机关、事业单位和团体组织的招标项目委托外部专家作为招标人代表的，应从上下级单位及其所属事业单位、招标代理机构、项目管理单位的工作人员中选择或邀请业务相关的其他国家机关、事业单位、国有企业工作人员担任，但不得委托招标项目的行政监督部门、审批核准部门、主管部门和审计部门工作人员担任。评标委员会中招标人代表和评标专家的人数应符合招标文件约定。开标后，招标人认为评标委员会成员数量不满足评标需要的，仅可增加评标专家人数。严禁招标人代表私下接触投标人、潜在投标人、评标专家或相关利害关系人。 任何单位和个人不得禁止或限制招标人代表进入评标委员会。但有证据表明该代表可能影响评标公正性的除外。”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投标人须知前附表7.1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中标候选人公示媒介及期限</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中标候选人、评标结果公示媒介及期限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投标人须知前附表7.6.1</w:t>
            </w:r>
          </w:p>
        </w:tc>
        <w:tc>
          <w:tcPr>
            <w:tcW w:w="4125" w:type="dxa"/>
            <w:vAlign w:val="top"/>
          </w:tcPr>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履约保证金=中标合同金额的</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%（根据中华人民共和国招标投标法实施条例第五十八条规定：履约保证金不得超过中标合同金额的10%）</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投标人可以选用下列形式之一提交履约保证金：</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（1）以现金或者支票形式全额提交。采用该形式的履约担保必须通过中标人基本账户以银行转账方式缴纳。</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（2）以保函形式全额提交。采用该形式的履约担保必须提供保函原件。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（3）以现金或支票、保函形式组合提交。采用现金或支票形式的履约担保必须通过中标人基本账户以银行转账方式缴纳；采用保函形式的履约担保必须提供保函原件。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0"/>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（4）保函形式采用</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银行保函，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保险公司保险，</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（其它形式，由招标人自行填写），招标人可选择一项或多项。</w:t>
            </w:r>
          </w:p>
        </w:tc>
        <w:tc>
          <w:tcPr>
            <w:tcW w:w="4163" w:type="dxa"/>
            <w:vAlign w:val="top"/>
          </w:tcPr>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履约保证金=中标合同金额的</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%（根据中华人民共和国招标投标法实施条例第五十八条规定：履约保证金不得超过中标合同金额的10%）</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投标人可以选用下列形式之一提交履约保证金：</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（1）以现金或者支票形式全额提交。采用该形式的履约担保必须通过中标人基本账户以银行转账方式缴纳。</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（2）以保函形式全额提交。采用该形式的履约担保必须提供保函原件。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（3）以现金或支票、保函形式组合提交。采用现金或支票形式的履约担保必须通过中标人基本账户以银行转账方式缴纳；采用保函形式的履约担保必须提供保函原件。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（4）保函形式采用</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银行保函，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保险公司保险，</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（其它形式，由招标人自行填写），招标人可选择一项或多项。</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（5）</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监理类信用评价AA级及以上且连续3年无不良行为记录的中标人可相应减免</w:t>
            </w:r>
            <w:r>
              <w:rPr>
                <w:rFonts w:hint="eastAsia" w:ascii="仿宋" w:hAnsi="仿宋" w:eastAsia="仿宋" w:cs="仿宋"/>
                <w:b w:val="0"/>
                <w:bCs w:val="0"/>
                <w:snapToGrid w:val="0"/>
                <w:color w:val="auto"/>
                <w:kern w:val="44"/>
                <w:sz w:val="24"/>
                <w:szCs w:val="24"/>
                <w:vertAlign w:val="baseline"/>
                <w:lang w:val="en-US" w:eastAsia="zh-CN"/>
              </w:rPr>
              <w:t>中标合同金额</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%（最多不超过10%）的履约保证金。</w:t>
            </w:r>
            <w:r>
              <w:rPr>
                <w:rFonts w:hint="eastAsia" w:ascii="仿宋" w:hAnsi="仿宋" w:eastAsia="仿宋" w:cs="仿宋"/>
                <w:b w:val="0"/>
                <w:bCs w:val="0"/>
                <w:snapToGrid w:val="0"/>
                <w:color w:val="auto"/>
                <w:kern w:val="44"/>
                <w:sz w:val="24"/>
                <w:szCs w:val="24"/>
                <w:vertAlign w:val="baseline"/>
                <w:lang w:val="en-US" w:eastAsia="zh-CN"/>
              </w:rPr>
              <w:t>（由招标人自行选择）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投标人须知前附表11.1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招标人委托招标代理机构组织招标时，招标代理服务费由招标人支付。</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招标人支付。</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中标的投标人支付。招标代理服务费不计入投标报价，中标后，参照“计价格[2002]1980号”规定的招标代理服务收费标准，以及招标人和招标代理机构签订的《四川省国家投资工程建设项目委托招标代理合同》（四川省发展和改革委员会、四川省工商行政管理局制定的规范文本）中确定的上（下）浮动幅度（    %），计算出招标代理服务费，支付给招标代理机构。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总则1.4.2</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投标人须知前附表规定接受联合体投标的，除应符合本章第 1.4.1 项和投标人须知前附表的要求外，还应遵守以下规定：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（1）联合体各方应按招标文件提供的格式签订联合体协议书，明确联合体牵头人和各方权利义务，并承诺就中标项目向招标人承担连带责任；</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（2）由同一专业的单位组成的联合体，按照资质等级较低的单位确定资质等级；</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（3）联合体各方不得再以自己名义单独或参加其他联合体在同一标段中投标，否则各相关投标均无效。</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1.4.2 投标人须知前附表规定接受联合体投标的，除应符合本章第 1.4.1 项和投标人须知前附表的要求外，还应遵守以下规定：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（1）联合体各方应按招标文件提供的格式签订联合体协议书，明确联合体牵头人和各方权利义务，并就中标项目向招标人承担连带责任；</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（3）联合体各方不得再以自己名义单独或参加其他联合体在同一标段中投标；</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联合体各成员应按照招标文件中投标文件格式的要求提供相应数据、资料，并由联合体牵头人负责统一汇总、编制投标文件后加密、上传；联合体牵头人所提交的投标文件应认为已代表了联合体各成员的真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总则1.4.3</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（11）在最近三年内有骗取中标或严重违约或发生重大监理质量问题（应以有关行政管理部门或司法机关出具的有关文件为依据）</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删除，后续序号递进。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总则3.5.5</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拟委任的主要人员汇总表”应填报满足本章第 1.4.1 项规定的总监理工程师和其他主要人员的相关信息。“主要人员简历表”中总监理工程师应附身份证、职称证、全国水利工程建设监理工程师资格证书和近 6 个月缴纳的养老保险证明（按照《住房和城乡建设部办公厅关于做好工程建设领域专业技术人员职业资格“挂证”等违法违规行为专项整治工作的补充通知》（建办市函〔2019〕92 号），以下简称《通知》，《通知》中所明确对实际工作单位与注册单位一致，但社会保险缴纳单位与注册单位不一致的人员，6 类情形原则上不认定为“挂证”行为）的扫描件（或复印件），管理过的项目业绩须附合同协议书的扫描件（或复印件）；其他主要人员应附身份证、职称证、有关证书和近 6 个月缴纳的养老保险证明的扫描件（或复印件）。以最近 6 个月连续缴纳的养老保险证明为准（单位设立不足 6 个月的，从设立时起，下同），连续缴费的养老保险是指从获取招标文件时间的上一个月或上上个月起算，往前推 6 个月的连续、不间断，每个月都缴纳了养老保险费。</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拟委任的主要人员汇总表”应填报满足本章第 1.4.1 项规定的总监理工程师和其他主要人员的相关信息。“主要人员简历表”中总监理工程师应附身份证、职称证、中华人民共和国监理工程师注册证书和近 6 个月缴纳的养老保险证明的扫描件（或复印件），管理过的项目业绩须附合同协议书的扫描件（或复印件）；其他主要人员应附身份证、职称证、有关证书和近 6 个月缴纳的养老保险证明的扫描件（或复印件）。以最近 6 个月连续缴纳的养老保险证明为准（单位设立不足 6 个月的，从设立时起，下同），连续缴费的养老保险是指从获取招标文件时间的上一个月或上上个月起算，往前推 6 个月的连续、不间断，每个月都缴纳了养老保险费。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综合评估法评标办法前附2.2.4（1）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监理类信用评价：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AAA 级信用等级，得 8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AA 级信用等级， 得 6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A级信用等级，得 4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B 级信用等级，得 2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C 级信用等级，得 0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 获得的市场信用等级应以全国水利建设市场监管平台公告的等级为准。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 联合体投标的，信用得分按信用等级低的计算。</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监理类信用评价：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AAA 级信用等级，得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AA 级信用等级， 得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A级信用等级，得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B 级信用等级，得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C 级信用等级，得   分；              </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注：1.获得的市场信用等级应以全国水利建设市场监管平台公告的等级为准，且开标之日在有效期内；附有效期内的信用等级证书或水利建设市场监管平台截图；</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2.联合体投标人的信用等级按联合体成员信用等级低的计算；</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3.具体分值设置按照《四川省水利工程建设项目招标投标管理实施细则》执行，总分值设置不超过10分；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4.各信用等级之间分差应保持相对一致，且原则上不低于0.5分。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综合评估法评标办法前附2.2.4（1）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增加：奖项加分</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u w:val="none"/>
                <w:vertAlign w:val="baseline"/>
                <w:lang w:val="en-US" w:eastAsia="zh-CN"/>
              </w:rPr>
              <w:t>分。（注：由招标人自行选择。招标人不得设定特定行政区域或者特定行业的奖项作为加分条件，不得设定与招标工程的具体特点不相适应的奖项作为加分条件，不得设定全国评比达标表彰工作协调小组办公室按照《评比达标表彰活动管理办法》公布目录以外的奖项作为加分条件。设定奖项年限为近3年的，个数不得超过1个；近5年及以上的，个数不超过2个。评标办法中各类奖项加分总分值不得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220" w:firstLineChars="0"/>
              <w:jc w:val="left"/>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第六章投标文件格式（六）主要人员简历表</w:t>
            </w:r>
          </w:p>
        </w:tc>
        <w:tc>
          <w:tcPr>
            <w:tcW w:w="4125" w:type="dxa"/>
            <w:vAlign w:val="top"/>
          </w:tcPr>
          <w:p>
            <w:pPr>
              <w:pStyle w:val="14"/>
              <w:widowControl w:val="0"/>
              <w:ind w:left="0" w:leftChars="0"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总监理工程师应附身份证、职称证、全国水利工程建设监理工程师资格证书和近6个月缴纳的养老保险证明（按照《住房和城乡建设部办公厅关于做好工程建设领域专业技术人员职业资格“挂证”等违法违规行为专项整治工作的补充通知》（建办市函〔2019〕92号），以下简称《通知》，《通知》中所明确对实际工作单位与注册单位一致，但社会保险缴纳单位与注册单位不一致的人员，6类情形原则上不认定为“挂证”行为）的扫描件（或复印件）和投标人须知前附表1.4.1及第三章评标办法（综合评估法）中要求的其他证件的扫描件（或复印件），管理过的项目业绩须附合同协议书的扫描件（或复印件），其他主要人员应附身份证、职称证、有关证书和近6个月缴纳的养老保险证明的扫描件（或复印件）。资格条件和评标办法中未要求的证明和证件，可不提供。</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总监理工程师应附身份证、职称证、</w:t>
            </w:r>
            <w:r>
              <w:rPr>
                <w:rFonts w:hint="eastAsia" w:ascii="仿宋" w:hAnsi="仿宋" w:eastAsia="仿宋" w:cs="仿宋"/>
                <w:b w:val="0"/>
                <w:bCs w:val="0"/>
                <w:color w:val="auto"/>
                <w:sz w:val="24"/>
                <w:szCs w:val="24"/>
                <w:vertAlign w:val="baseline"/>
                <w:lang w:val="en-US" w:eastAsia="zh-CN"/>
              </w:rPr>
              <w:t>中华人民共和国监理工程师注册证书</w:t>
            </w:r>
            <w:r>
              <w:rPr>
                <w:rFonts w:hint="eastAsia" w:ascii="仿宋" w:hAnsi="仿宋" w:eastAsia="仿宋" w:cs="仿宋"/>
                <w:b w:val="0"/>
                <w:bCs w:val="0"/>
                <w:snapToGrid w:val="0"/>
                <w:color w:val="auto"/>
                <w:kern w:val="44"/>
                <w:sz w:val="24"/>
                <w:szCs w:val="24"/>
                <w:vertAlign w:val="baseline"/>
                <w:lang w:val="en-US" w:eastAsia="zh-CN"/>
              </w:rPr>
              <w:t>和近6个月缴纳的养老保险证明的扫描件（或复印件）和投标人须知前附表1.4.1及第三章评标办法（综合评估法）中要求的其他证件的扫描件（或复印件），管理过的项目业绩须附合同协议书的扫描件（或复印件），其他主要人员应附身份证、职称证、有关证书和近6个月缴纳的养老保险证明的扫描件（或复印件）。资格条件和评标办法中未要求的证明和证件，可不提供。</w:t>
            </w:r>
          </w:p>
        </w:tc>
      </w:tr>
    </w:tbl>
    <w:p>
      <w:pPr>
        <w:pStyle w:val="2"/>
        <w:numPr>
          <w:ilvl w:val="0"/>
          <w:numId w:val="0"/>
        </w:numPr>
        <w:jc w:val="both"/>
        <w:rPr>
          <w:rFonts w:hint="eastAsia" w:ascii="黑体" w:hAnsi="黑体" w:eastAsia="黑体" w:cs="黑体"/>
          <w:b w:val="0"/>
          <w:bCs w:val="0"/>
          <w:snapToGrid/>
          <w:color w:val="auto"/>
          <w:kern w:val="2"/>
          <w:sz w:val="32"/>
          <w:szCs w:val="32"/>
          <w:lang w:val="en-US" w:eastAsia="zh-CN" w:bidi="ar-SA"/>
        </w:rPr>
      </w:pPr>
      <w:r>
        <w:rPr>
          <w:rFonts w:hint="eastAsia" w:ascii="黑体" w:hAnsi="黑体" w:cs="黑体"/>
          <w:b w:val="0"/>
          <w:bCs w:val="0"/>
          <w:snapToGrid/>
          <w:color w:val="auto"/>
          <w:kern w:val="2"/>
          <w:sz w:val="32"/>
          <w:szCs w:val="32"/>
          <w:lang w:val="en-US" w:eastAsia="zh-CN" w:bidi="ar-SA"/>
        </w:rPr>
        <w:t>三</w:t>
      </w:r>
      <w:r>
        <w:rPr>
          <w:rFonts w:hint="eastAsia" w:ascii="黑体" w:hAnsi="黑体" w:eastAsia="黑体" w:cs="黑体"/>
          <w:b w:val="0"/>
          <w:bCs w:val="0"/>
          <w:snapToGrid/>
          <w:color w:val="auto"/>
          <w:kern w:val="2"/>
          <w:sz w:val="32"/>
          <w:szCs w:val="32"/>
          <w:lang w:val="en-US" w:eastAsia="zh-CN" w:bidi="ar-SA"/>
        </w:rPr>
        <w:t>、标准</w:t>
      </w:r>
      <w:r>
        <w:rPr>
          <w:rFonts w:hint="eastAsia" w:ascii="黑体" w:hAnsi="黑体" w:cs="黑体"/>
          <w:b w:val="0"/>
          <w:bCs w:val="0"/>
          <w:snapToGrid/>
          <w:color w:val="auto"/>
          <w:kern w:val="2"/>
          <w:sz w:val="32"/>
          <w:szCs w:val="32"/>
          <w:lang w:val="en-US" w:eastAsia="zh-CN" w:bidi="ar-SA"/>
        </w:rPr>
        <w:t>勘察设计</w:t>
      </w:r>
      <w:r>
        <w:rPr>
          <w:rFonts w:hint="eastAsia" w:ascii="黑体" w:hAnsi="黑体" w:eastAsia="黑体" w:cs="黑体"/>
          <w:b w:val="0"/>
          <w:bCs w:val="0"/>
          <w:snapToGrid/>
          <w:color w:val="auto"/>
          <w:kern w:val="2"/>
          <w:sz w:val="32"/>
          <w:szCs w:val="32"/>
          <w:lang w:val="en-US" w:eastAsia="zh-CN" w:bidi="ar-SA"/>
        </w:rPr>
        <w:t>招标文件（2020年版）</w:t>
      </w:r>
    </w:p>
    <w:tbl>
      <w:tblPr>
        <w:tblStyle w:val="8"/>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4125"/>
        <w:gridCol w:w="4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条款号</w:t>
            </w:r>
          </w:p>
        </w:tc>
        <w:tc>
          <w:tcPr>
            <w:tcW w:w="4125"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原内容</w:t>
            </w:r>
          </w:p>
        </w:tc>
        <w:tc>
          <w:tcPr>
            <w:tcW w:w="4163"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修改后内容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3）资质类别：资质类别应与招标工程内容相对应，当招标工程内容涉及多个资质时，应合理划分标段发包；确需整体发包要求投标人具备相应多个资质的，应接受投标人组成联合体投标，且不得限制联合体成员的数量，总承包资质覆盖范围内的专业工程不得再设置资质要求，否则属于以不合理条件限制、排斥潜在投标人或者投标人。</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color w:val="auto"/>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注（3）资质类别：资质类别应与招标工程内容相对应，当招标工程内容涉及多个资质时，应合理划分标段发包；确需整体发包要求投标人具备相应多个资质的，应接受投标人组成联合体投标。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黑体" w:hAnsi="黑体" w:eastAsia="黑体" w:cs="黑体"/>
                <w:b w:val="0"/>
                <w:bCs w:val="0"/>
                <w:snapToGrid w:val="0"/>
                <w:color w:val="auto"/>
                <w:kern w:val="44"/>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黑体" w:hAnsi="黑体" w:eastAsia="黑体" w:cs="黑体"/>
                <w:b w:val="0"/>
                <w:bCs w:val="0"/>
                <w:snapToGrid w:val="0"/>
                <w:color w:val="auto"/>
                <w:kern w:val="44"/>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黑体" w:hAnsi="黑体" w:eastAsia="黑体" w:cs="黑体"/>
                <w:b w:val="0"/>
                <w:bCs w:val="0"/>
                <w:snapToGrid w:val="0"/>
                <w:color w:val="auto"/>
                <w:kern w:val="44"/>
                <w:sz w:val="32"/>
                <w:szCs w:val="32"/>
                <w:vertAlign w:val="baseline"/>
                <w:lang w:val="en-US" w:eastAsia="zh-CN"/>
              </w:rPr>
            </w:pPr>
            <w:r>
              <w:rPr>
                <w:rFonts w:hint="eastAsia" w:ascii="仿宋" w:hAnsi="仿宋" w:eastAsia="仿宋" w:cs="仿宋"/>
                <w:b w:val="0"/>
                <w:bCs w:val="0"/>
                <w:color w:val="auto"/>
                <w:sz w:val="24"/>
                <w:szCs w:val="24"/>
                <w:vertAlign w:val="baseline"/>
                <w:lang w:val="en-US" w:eastAsia="zh-CN"/>
              </w:rPr>
              <w:t>增加  注：（8）招标文件不得设置“业绩不重复计分”等内容，投标人的业绩可以适用企业业绩和人员业绩要求或者多个类别业绩要求。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投标人须知前附表3.2.4</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最低下浮比率：</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%（精确到 0.01%）</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最低下浮比率：</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%（精确到 0.01%）（例如：招标人设置最低下浮比例为5.00%，投标人报价为下浮比例6.00%，视为有效报价；投标人报价为下浮比例4.00%，视为无效报价。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投标人须知前附表3.5.3</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近年完成的类似项目情况的时间要求</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类似项目时间要求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投标人须知前附表6.1.1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评标委员会的组成和评标专家的确定方式按川办发[2003]13号第九条、川府发（2014）62号第（三）条等文件规定执行。</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评标委员会组建的相关规定：《四川省人民政府办公厅关于印发&lt;四川省评标专家库管理办法&gt;的通知》（川办发[2003]13号）“第九条在四川省内全部或者部分使用国有资金投资或者国家融资且依法必须进行招标的工程建设项目，评标专家必须从四川省评标专家库中确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国务院部委直接管理招投标的项目，国家另有规定的从其规定。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使用国际组织或者外国政府贷款、援助资金的项目进行招标，贷款方、资金提供方对确定评标专家有不同规定的，可以适用其规定。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经管委办批准，也可以从国家级专家库或其他省级以上专家库中随机确定评标专家。”</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四川省人民政府关于进一步规范国家投资工程建设项目招标投标工作的意见》（川府发〔2014〕62号）（三）规范评标委员会组建。按照国家有关规定需要履行项目审批、核准手续，依法必须进行招标的国家投资工程建设项目所需经济、技术评标专家从四川省公共资源交易综合评标专家库中抽取。四川省公共资源交易综合评标专家库中专家不能满足评标需要的，经四川省公共资源交易综合评标专家库管理部门确认，招标人在行政监督部门的监督下，可从国务院有关部委或外省（区、市）评标专家库中抽取评标专家。国务院有关部委审批的项目对抽取评标专家另有规定的从其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国家投资工程建设项目招标人拟派进入评标委员会的代表，应熟悉招标投标有关法律法规和招标项目经济、技术要求，并不得担任评标委员会主任。行政监督部门（包括具有公共管理职能的事业单位）的工作人员不得作为被监督项目的评标专家或招标人评标代表参与评标。</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评标委员会的组成和评标专家的确定方式按川办发 〔2021〕54号第二十二条、川办规〔2022〕8号第（十）条等文件规定执行。</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注：评标委员会组建的相关规定：《四川省评标专家和综合评标专家库管理办法的通知》（川办发 〔2021〕54号）“第二十二条依法必须进行招标的项目,其评标委员会的专家成员应当从综合评标专家库内相关专业的专家名单中以随机抽取方式确定。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任何单位和个人不得以明示、暗示等方式指定或者变相指定参加评标委员会的专家成员。</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 xml:space="preserve">   技术特别复杂、专业要求特别高,综合评标专家库无满足条件的专家或者满足条件的专家未达到系统随机抽取最低人数,以及国家有特殊要求、采取随机抽取方式确定的专家难以胜任评标工作的项目,经相关行业主管部门同意,招标人可以直接确定评标专家。“《关于持续优化营商环境规范招标投标主体行为的实施意见》川办规〔2022〕8号“(十)规范招标人代表选派。招标人应选派或委托责任心强、熟悉业务、公道正派的人员作为招标人代表参加评标，并遵守利益冲突回避原则。 国家机关、事业单位和团体组织的招标项目委托外部专家作为招标人代表的，应从上下级单位及其所属事业单位、招标代理机构、项目管理单位的工作人员中选择或邀请业务相关的其他国家机关、事业单位、国有企业工作人员担任，但不得委托招标项目的行政监督部门、审批核准部门、主管部门和审计部门工作人员担任。评标委员会中招标人代表和评标专家的人数应符合招标文件约定。开标后，招标人认为评标委员会成员数量不满足评标需要的，仅可增加评标专家人数。严禁招标人代表私下接触投标人、潜在投标人、评标专家或相关利害关系人。 任何单位和个人不得禁止或限制招标人代表进入评标委员会。但有证据表明该代表可能影响评标公正性的除外。”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投标人须知前附表7.1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中标候选人公示媒介及期限</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中标候选人、评标结果公示媒介及期限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投标人须知前附表7.7.1</w:t>
            </w:r>
          </w:p>
        </w:tc>
        <w:tc>
          <w:tcPr>
            <w:tcW w:w="4125" w:type="dxa"/>
            <w:vAlign w:val="top"/>
          </w:tcPr>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履约保证金=中标合同金额的</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%（根据中华人民共和国招标投标法实施条例第五十八条规定：履约保证金不得超过中标合同金额的10%）</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投标人可以选用下列形式之一提交履约保证金：</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（1）以现金或者支票形式全额提交。采用该形式的履约担保必须通过中标人基本账户以银行转账方式缴纳。</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（2）以保函形式全额提交。采用该形式的履约担保必须提供保函原件。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（3）以现金或支票、保函形式组合提交。采用现金或支票形式的履约担保必须通过中标人基本账户以银行转账方式缴纳；采用保函形式的履约担保必须提供保函原件。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0"/>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（4）保函形式采用</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银行保函，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保险公司保险，</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（其它形式，由招标人自行填写），招标人可选择一项或多项。</w:t>
            </w:r>
          </w:p>
        </w:tc>
        <w:tc>
          <w:tcPr>
            <w:tcW w:w="4163" w:type="dxa"/>
            <w:vAlign w:val="top"/>
          </w:tcPr>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履约保证金=中标合同金额的</w:t>
            </w:r>
            <w:r>
              <w:rPr>
                <w:rFonts w:hint="eastAsia" w:ascii="仿宋" w:hAnsi="仿宋" w:eastAsia="仿宋" w:cs="仿宋"/>
                <w:b w:val="0"/>
                <w:bCs w:val="0"/>
                <w:snapToGrid w:val="0"/>
                <w:color w:val="auto"/>
                <w:kern w:val="44"/>
                <w:sz w:val="24"/>
                <w:szCs w:val="24"/>
                <w:u w:val="single"/>
                <w:vertAlign w:val="baseline"/>
                <w:lang w:val="en-US" w:eastAsia="zh-CN"/>
              </w:rPr>
              <w:t xml:space="preserve">  </w:t>
            </w:r>
            <w:r>
              <w:rPr>
                <w:rFonts w:hint="eastAsia" w:ascii="仿宋" w:hAnsi="仿宋" w:eastAsia="仿宋" w:cs="仿宋"/>
                <w:b w:val="0"/>
                <w:bCs w:val="0"/>
                <w:snapToGrid w:val="0"/>
                <w:color w:val="auto"/>
                <w:kern w:val="44"/>
                <w:sz w:val="24"/>
                <w:szCs w:val="24"/>
                <w:vertAlign w:val="baseline"/>
                <w:lang w:val="en-US" w:eastAsia="zh-CN"/>
              </w:rPr>
              <w:t>%（根据中华人民共和国招标投标法实施条例第五十八条规定：履约保证金不得超过中标合同金额的10%）</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投标人可以选用下列形式之一提交履约保证金：</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（1）以现金或者支票形式全额提交。采用该形式的履约担保必须通过中标人基本账户以银行转账方式缴纳。</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（2）以保函形式全额提交。采用该形式的履约担保必须提供保函原件。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（3）以现金或支票、保函形式组合提交。采用现金或支票形式的履约担保必须通过中标人基本账户以银行转账方式缴纳；采用保函形式的履约担保必须提供保函原件。</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（4）保函形式采用</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银行保函，</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保险公司保险，</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snapToGrid w:val="0"/>
                <w:color w:val="auto"/>
                <w:kern w:val="44"/>
                <w:sz w:val="24"/>
                <w:szCs w:val="24"/>
                <w:vertAlign w:val="baseline"/>
                <w:lang w:val="en-US" w:eastAsia="zh-CN"/>
              </w:rPr>
              <w:t>（其它形式，由招标人自行填写），招标人可选择一项或多项。</w:t>
            </w:r>
          </w:p>
          <w:p>
            <w:pPr>
              <w:pStyle w:val="13"/>
              <w:widowControl w:val="0"/>
              <w:ind w:left="0" w:leftChars="0" w:right="0" w:rightChars="0"/>
              <w:jc w:val="both"/>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snapToGrid w:val="0"/>
                <w:color w:val="auto"/>
                <w:kern w:val="44"/>
                <w:sz w:val="24"/>
                <w:szCs w:val="24"/>
                <w:vertAlign w:val="baseline"/>
                <w:lang w:val="en-US" w:eastAsia="zh-CN"/>
              </w:rPr>
              <w:t>（5）</w:t>
            </w:r>
            <w:r>
              <w:rPr>
                <w:rFonts w:hint="eastAsia" w:ascii="仿宋" w:hAnsi="仿宋" w:eastAsia="仿宋" w:cs="仿宋"/>
                <w:b w:val="0"/>
                <w:bCs w:val="0"/>
                <w:snapToGrid w:val="0"/>
                <w:color w:val="auto"/>
                <w:kern w:val="44"/>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勘察类和设计类信用评价AA级及以上且连续3年无不良行为记录的中标人可相应减免</w:t>
            </w:r>
            <w:r>
              <w:rPr>
                <w:rFonts w:hint="eastAsia" w:ascii="仿宋" w:hAnsi="仿宋" w:eastAsia="仿宋" w:cs="仿宋"/>
                <w:b w:val="0"/>
                <w:bCs w:val="0"/>
                <w:snapToGrid w:val="0"/>
                <w:color w:val="auto"/>
                <w:kern w:val="44"/>
                <w:sz w:val="24"/>
                <w:szCs w:val="24"/>
                <w:vertAlign w:val="baseline"/>
                <w:lang w:val="en-US" w:eastAsia="zh-CN"/>
              </w:rPr>
              <w:t>中标合同金额</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%（最多不超过10%）的履约保证金。</w:t>
            </w:r>
            <w:r>
              <w:rPr>
                <w:rFonts w:hint="eastAsia" w:ascii="仿宋" w:hAnsi="仿宋" w:eastAsia="仿宋" w:cs="仿宋"/>
                <w:b w:val="0"/>
                <w:bCs w:val="0"/>
                <w:snapToGrid w:val="0"/>
                <w:color w:val="auto"/>
                <w:kern w:val="44"/>
                <w:sz w:val="24"/>
                <w:szCs w:val="24"/>
                <w:vertAlign w:val="baseline"/>
                <w:lang w:val="en-US" w:eastAsia="zh-CN"/>
              </w:rPr>
              <w:t>（由招标人自行选择）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投标人须知前附表11.1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招标人委托招标代理机构组织招标时，招标代理服务费由招标人支付。</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招标人支付。</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中标的投标人支付。招标代理服务费不计入投标报价，中标后，参照“计价格[2002]1980号”规定的招标代理服务收费标准，以及招标人和招标代理机构签订的《四川省国家投资工程建设项目委托招标代理合同》（四川省发展和改革委员会、四川省工商行政管理局制定的规范文本）中确定的上（下）浮动幅度（  %），计算出招标代理服务费，支付给招标代理机构。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总则1.4.2</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投标人须知前附表规定接受联合体投标的，除应符合本章第 1.4.1 项和投标人须知前附表的要求外，还应遵守以下规定：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（1）联合体各方应按招标文件提供的格式签订联合体协议书，明确联合体牵头人和各方权利义务，并承诺就中标项目向招标人承担连带责任；</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（2）由同一专业的单位组成的联合体，按照资质等级较低的单位确定资质等级；</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（3）联合体各方不得再以自己名义单独或参加其他联合体在同一标段中投标，否则各相关投标均无效。</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1.4.2 投标人须知前附表规定接受联合体投标的，除应符合本章第 1.4.1 项和投标人须知前附表的要求外，还应遵守以下规定：</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（1）联合体各方应按招标文件提供的格式签订联合体协议书，明确联合体牵头人和各方权利义务，并就中标项目向招标人承担连带责任；</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（3）联合体各方不得再以自己名义单独或参加其他联合体在同一标段中投标；</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联合体各成员应按照招标文件中投标文件格式的要求提供相应数据、资料，并由联合体牵头人负责统一汇总、编制投标文件后加密、上传；联合体牵头人所提交的投标文件应认为已代表了联合体各成员的真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总则1.4.3</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（11）在最近三年内有骗取中标或严重违约或勘察设计质量问题的（应以有关行政管理部门或司法机关出具的有关文件为依据），具体年份要求见投标人须知前附表。</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删除，后续序号递进。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综合评估法评标办法前附2.2.4（1）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勘察类信用评价：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AAA 级信用等级，得4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 级信用等级，得3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 级信用等级，得2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B 级信用等级，得1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C 级信用等级，得0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设计类信用评价：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AAA 级信用等级，得4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 级信用等级，得3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 级信用等级，得2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B 级信用等级，得1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C 级信用等级，得0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本项累计得分不超过8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2.联合体投标的，相同专业信用得分按联合体成员相应信用等级低的计算。</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勘察类信用评价：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B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C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设计类信用评价：</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A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B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C 级信用等级，得  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本项累计得分不超过10分。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注：1.获得的市场信用等级应以全国水利建设市场监管平台公告的等级为准，且开标之日在有效期内；附有效期内的信用等级证书或水利建设市场监管平台截图；</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2.联合体投标人的信用等级按联合体成员信用等级低的计算；</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3.具体分值设置按照《四川省水利工程建设项目招标投标管理实施细则》执行，总分值设置不超过10分；</w:t>
            </w:r>
          </w:p>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4.各信用等级之间分差应保持相对一致，且原则上不低于0.5分。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综合评估法评标办法前附2.2.4（1）</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snapToGrid w:val="0"/>
                <w:color w:val="auto"/>
                <w:kern w:val="44"/>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增加：奖项加分</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u w:val="none"/>
                <w:vertAlign w:val="baseline"/>
                <w:lang w:val="en-US" w:eastAsia="zh-CN"/>
              </w:rPr>
              <w:t>分。（注：由招标人自行选择。招标人不得设定特定行政区域或者特定行业的奖项作为加分条件，不得设定与招标工程的具体特点不相适应的奖项作为加分条件，不得设定全国评比达标表彰工作协调小组办公室按照《评比达标表彰活动管理办法》公布目录以外的奖项作为加分条件。设定奖项年限为近3年的，个数不得超过1个；近5年及以上的，个数不超过2个。评标办法中各类奖项加分总分值不得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00"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综合评估法评标办法前附2.2.4（3）</w:t>
            </w:r>
          </w:p>
        </w:tc>
        <w:tc>
          <w:tcPr>
            <w:tcW w:w="4125"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投标报价等于评标基准价得满分</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分，与评标基准价相比每少或每多下浮 1%均扣</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分，扣完为止，不足 1%的按直线插入法计算，得分精确到 0.01。</w:t>
            </w:r>
          </w:p>
        </w:tc>
        <w:tc>
          <w:tcPr>
            <w:tcW w:w="4163" w:type="dxa"/>
            <w:vAlign w:val="top"/>
          </w:tcPr>
          <w:p>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left"/>
              <w:textAlignment w:val="baseline"/>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sym w:font="Wingdings 2" w:char="00A3"/>
            </w:r>
            <w:r>
              <w:rPr>
                <w:rFonts w:hint="eastAsia" w:ascii="仿宋" w:hAnsi="仿宋" w:eastAsia="仿宋" w:cs="仿宋"/>
                <w:b w:val="0"/>
                <w:bCs w:val="0"/>
                <w:color w:val="auto"/>
                <w:sz w:val="24"/>
                <w:szCs w:val="24"/>
                <w:vertAlign w:val="baseline"/>
                <w:lang w:val="en-US" w:eastAsia="zh-CN"/>
              </w:rPr>
              <w:t>投标报价等于评标基准价得满分</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分，与评标基准价相比每少或每多下浮 1%均扣</w:t>
            </w:r>
            <w:r>
              <w:rPr>
                <w:rFonts w:hint="eastAsia" w:ascii="仿宋" w:hAnsi="仿宋" w:eastAsia="仿宋" w:cs="仿宋"/>
                <w:b w:val="0"/>
                <w:bCs w:val="0"/>
                <w:color w:val="auto"/>
                <w:sz w:val="24"/>
                <w:szCs w:val="24"/>
                <w:u w:val="single"/>
                <w:vertAlign w:val="baseline"/>
                <w:lang w:val="en-US" w:eastAsia="zh-CN"/>
              </w:rPr>
              <w:t xml:space="preserve"> </w:t>
            </w:r>
            <w:r>
              <w:rPr>
                <w:rFonts w:hint="eastAsia" w:ascii="仿宋" w:hAnsi="仿宋" w:eastAsia="仿宋" w:cs="仿宋"/>
                <w:b w:val="0"/>
                <w:bCs w:val="0"/>
                <w:color w:val="auto"/>
                <w:sz w:val="24"/>
                <w:szCs w:val="24"/>
                <w:vertAlign w:val="baseline"/>
                <w:lang w:val="en-US" w:eastAsia="zh-CN"/>
              </w:rPr>
              <w:t>分，扣完为止，不足 1%的按直线插入法计算，得分精确到 0.01。（例如：评标基准价为5.00%，投标人报价为下浮比例6.00%，则按多下浮1.00%扣相应分数。）</w:t>
            </w:r>
          </w:p>
        </w:tc>
      </w:tr>
    </w:tbl>
    <w:p>
      <w:pPr>
        <w:rPr>
          <w:rFonts w:hint="eastAsia"/>
          <w:color w:val="auto"/>
          <w:lang w:val="en-US" w:eastAsia="zh-CN"/>
        </w:rPr>
      </w:pPr>
    </w:p>
    <w:sectPr>
      <w:footerReference r:id="rId5" w:type="default"/>
      <w:footerReference r:id="rId6" w:type="even"/>
      <w:pgSz w:w="12380" w:h="15950"/>
      <w:pgMar w:top="2098" w:right="1474" w:bottom="1984" w:left="1587" w:header="0" w:footer="13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000BC3"/>
    <w:multiLevelType w:val="singleLevel"/>
    <w:tmpl w:val="CB000B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evenAndOddHeaders w:val="true"/>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Y3ZDljZmE5YTEyMjk4NjZjMGFlYTU3ZTAxZGQwMjIifQ=="/>
  </w:docVars>
  <w:rsids>
    <w:rsidRoot w:val="00000000"/>
    <w:rsid w:val="028916DF"/>
    <w:rsid w:val="09E735F4"/>
    <w:rsid w:val="122350D6"/>
    <w:rsid w:val="190440CD"/>
    <w:rsid w:val="19573038"/>
    <w:rsid w:val="1E15141A"/>
    <w:rsid w:val="1FFE1403"/>
    <w:rsid w:val="20B01D9E"/>
    <w:rsid w:val="22455D9D"/>
    <w:rsid w:val="22D04C63"/>
    <w:rsid w:val="23A56E01"/>
    <w:rsid w:val="24B05EDD"/>
    <w:rsid w:val="26CA5BC3"/>
    <w:rsid w:val="278E19F3"/>
    <w:rsid w:val="2AEF2B42"/>
    <w:rsid w:val="2EE71CD1"/>
    <w:rsid w:val="30147797"/>
    <w:rsid w:val="30841F0E"/>
    <w:rsid w:val="31625295"/>
    <w:rsid w:val="320152EB"/>
    <w:rsid w:val="33D527C7"/>
    <w:rsid w:val="38316FC4"/>
    <w:rsid w:val="3ECD2A66"/>
    <w:rsid w:val="44F808BB"/>
    <w:rsid w:val="4525786B"/>
    <w:rsid w:val="4A325A2A"/>
    <w:rsid w:val="4A934476"/>
    <w:rsid w:val="4E5F4BDC"/>
    <w:rsid w:val="538D1EF1"/>
    <w:rsid w:val="54B230C7"/>
    <w:rsid w:val="580B1255"/>
    <w:rsid w:val="5C6A57CC"/>
    <w:rsid w:val="5CEF1B74"/>
    <w:rsid w:val="5D4C2099"/>
    <w:rsid w:val="5DED613B"/>
    <w:rsid w:val="60F8138F"/>
    <w:rsid w:val="6CF85761"/>
    <w:rsid w:val="6D3F589B"/>
    <w:rsid w:val="6DC00297"/>
    <w:rsid w:val="6F931989"/>
    <w:rsid w:val="73779D88"/>
    <w:rsid w:val="B86BE2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3"/>
    <w:next w:val="1"/>
    <w:qFormat/>
    <w:uiPriority w:val="0"/>
    <w:pPr>
      <w:keepNext/>
      <w:keepLines/>
      <w:spacing w:before="100" w:beforeLines="100" w:after="100" w:afterLines="100" w:line="288" w:lineRule="auto"/>
      <w:ind w:firstLine="0" w:firstLineChars="0"/>
      <w:jc w:val="center"/>
      <w:outlineLvl w:val="0"/>
    </w:pPr>
    <w:rPr>
      <w:rFonts w:ascii="Arial" w:hAnsi="Arial" w:eastAsia="黑体"/>
      <w:bCs/>
      <w:kern w:val="44"/>
      <w:sz w:val="32"/>
      <w:szCs w:val="44"/>
    </w:rPr>
  </w:style>
  <w:style w:type="paragraph" w:styleId="4">
    <w:name w:val="heading 2"/>
    <w:basedOn w:val="1"/>
    <w:next w:val="1"/>
    <w:unhideWhenUsed/>
    <w:qFormat/>
    <w:uiPriority w:val="9"/>
    <w:pPr>
      <w:keepNext w:val="0"/>
      <w:keepLines/>
      <w:spacing w:before="40" w:beforeLines="0" w:beforeAutospacing="0" w:after="40" w:afterLines="0" w:afterAutospacing="0" w:line="240" w:lineRule="auto"/>
      <w:ind w:firstLine="881" w:firstLineChars="200"/>
      <w:outlineLvl w:val="1"/>
    </w:pPr>
    <w:rPr>
      <w:rFonts w:ascii="Arial" w:hAnsi="Arial" w:eastAsia="黑体"/>
    </w:rPr>
  </w:style>
  <w:style w:type="character" w:default="1" w:styleId="9">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7">
    <w:name w:val="Normal Table"/>
    <w:semiHidden/>
    <w:qFormat/>
    <w:uiPriority w:val="0"/>
    <w:tblPr>
      <w:tblCellMar>
        <w:top w:w="0" w:type="dxa"/>
        <w:left w:w="108" w:type="dxa"/>
        <w:bottom w:w="0" w:type="dxa"/>
        <w:right w:w="108" w:type="dxa"/>
      </w:tblCellMar>
    </w:tblPr>
  </w:style>
  <w:style w:type="paragraph" w:styleId="3">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BodyText"/>
    <w:basedOn w:val="1"/>
    <w:qFormat/>
    <w:uiPriority w:val="0"/>
    <w:pPr>
      <w:widowControl/>
      <w:spacing w:after="120"/>
      <w:textAlignment w:val="baseline"/>
    </w:pPr>
    <w:rPr>
      <w:rFonts w:ascii="Calibri" w:hAnsi="Calibri" w:eastAsia="宋体" w:cs="Times New Roman"/>
      <w:szCs w:val="24"/>
    </w:rPr>
  </w:style>
  <w:style w:type="paragraph" w:customStyle="1" w:styleId="13">
    <w:name w:val="样式7"/>
    <w:basedOn w:val="1"/>
    <w:qFormat/>
    <w:uiPriority w:val="0"/>
    <w:pPr>
      <w:spacing w:line="300" w:lineRule="exact"/>
      <w:ind w:left="-120" w:leftChars="-50" w:right="-120" w:rightChars="-50"/>
      <w:jc w:val="center"/>
    </w:pPr>
    <w:rPr>
      <w:rFonts w:eastAsia="宋体"/>
      <w:sz w:val="21"/>
    </w:rPr>
  </w:style>
  <w:style w:type="paragraph" w:customStyle="1" w:styleId="14">
    <w:name w:val="样式4"/>
    <w:basedOn w:val="1"/>
    <w:qFormat/>
    <w:uiPriority w:val="0"/>
    <w:pPr>
      <w:ind w:firstLine="480" w:firstLineChars="200"/>
    </w:pPr>
    <w:rPr>
      <w:rFonts w:eastAsia="宋体"/>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16283</Words>
  <Characters>16863</Characters>
  <TotalTime>10</TotalTime>
  <ScaleCrop>false</ScaleCrop>
  <LinksUpToDate>false</LinksUpToDate>
  <CharactersWithSpaces>17546</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2023-03-11T15:23:00Z</dcterms:created>
  <dc:creator>Kingsoft-PDF</dc:creator>
  <cp:lastModifiedBy>user</cp:lastModifiedBy>
  <dcterms:modified xsi:type="dcterms:W3CDTF">2023-03-16T10:34:58Z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2023-03-10T15:23:26Z</vt:filetime>
  </property>
  <property fmtid="{D5CDD505-2E9C-101B-9397-08002B2CF9AE}" pid="4" name="UsrData">
    <vt:lpwstr>640adada0c8b290015dcf67f</vt:lpwstr>
  </property>
  <property fmtid="{D5CDD505-2E9C-101B-9397-08002B2CF9AE}" pid="5" name="KSOProductBuildVer">
    <vt:lpwstr>2052-11.8.2.10251</vt:lpwstr>
  </property>
  <property fmtid="{D5CDD505-2E9C-101B-9397-08002B2CF9AE}" pid="6" name="ICV">
    <vt:lpwstr>A78D305C5F474D5E8436D8DEAC2DFDFD</vt:lpwstr>
  </property>
</Properties>
</file>