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四川省水利建设市场主体不良行为记录认定表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24"/>
          <w:szCs w:val="24"/>
          <w:lang w:val="en-US" w:eastAsia="zh-CN" w:bidi="ar"/>
        </w:rPr>
        <w:t>认定单位（盖章）：                           认定日期：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641"/>
        <w:gridCol w:w="2147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市场主体名称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（个人姓名）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（居民身份证号码）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违法（违规）行为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处理依据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处理文件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处理决定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不良行为记录类别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处理时间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公开期限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处理机关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扣分分值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0"/>
        <w:jc w:val="both"/>
        <w:rPr>
          <w:rFonts w:hint="default" w:ascii="Times New Roman" w:hAnsi="Times New Roman" w:eastAsia="楷体" w:cs="Times New Roman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填表说明：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1.违法（违规）行为栏应具体描述。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2.处理依据栏应填写作出责任追究、行政处罚或司法判决依据的相关法律法规等文件，具体到第几条。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3.处理文件栏应填写作出责任追究、行政处罚或司法判决等文件的名称及文号，处理文件随本表一并报送。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4.处理时间栏和处理机关栏分别填写出具处理文件的日期和单位。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default" w:ascii="Times New Roman" w:hAnsi="Times New Roman" w:eastAsia="楷体" w:cs="Times New Roman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5.处理决定、不良行为记录信息类别、公开期限、扣分分值分别按《水利建设市场主体信用信息管理办法》（水建设[2019]306号）第十条、第十一条、第十六条和第二十一条填写。</w:t>
      </w:r>
    </w:p>
    <w:p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DU2NzUzNzU3NTNjZWRmM2U5MGQyN2NlMjY0ZDUifQ=="/>
  </w:docVars>
  <w:rsids>
    <w:rsidRoot w:val="32397DB3"/>
    <w:rsid w:val="323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2023-01-06T02:40:00Z</dcterms:created>
  <dc:creator>lureen</dc:creator>
  <cp:lastModifiedBy>lureen</cp:lastModifiedBy>
  <dcterms:modified xsi:type="dcterms:W3CDTF">2023-01-06T02:40:51Z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4A618D6D804E4C7F9D4B94BE77424574</vt:lpwstr>
  </property>
</Properties>
</file>